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604" w:rsidRDefault="00156604">
      <w:pPr>
        <w:jc w:val="center"/>
        <w:rPr>
          <w:rFonts w:ascii="黑体" w:eastAsia="黑体"/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t>山东建筑大学</w:t>
      </w:r>
    </w:p>
    <w:p w:rsidR="00156604" w:rsidRDefault="00156604">
      <w:pPr>
        <w:jc w:val="center"/>
        <w:rPr>
          <w:rFonts w:ascii="黑体" w:eastAsia="黑体"/>
          <w:color w:val="000000"/>
          <w:sz w:val="30"/>
        </w:rPr>
      </w:pPr>
      <w:r>
        <w:rPr>
          <w:rFonts w:ascii="黑体" w:eastAsia="黑体" w:hint="eastAsia"/>
          <w:color w:val="000000"/>
          <w:sz w:val="30"/>
        </w:rPr>
        <w:t>研究生入学考试《民法学》考试大纲（复试）</w:t>
      </w:r>
    </w:p>
    <w:p w:rsidR="00156604" w:rsidRPr="00931171" w:rsidRDefault="00156604">
      <w:pPr>
        <w:spacing w:line="360" w:lineRule="auto"/>
        <w:rPr>
          <w:b/>
          <w:bCs/>
          <w:color w:val="000000"/>
          <w:sz w:val="24"/>
        </w:rPr>
      </w:pPr>
    </w:p>
    <w:p w:rsidR="00156604" w:rsidRDefault="00156604">
      <w:pPr>
        <w:spacing w:line="360" w:lineRule="auto"/>
        <w:rPr>
          <w:b/>
          <w:bCs/>
          <w:color w:val="000000"/>
          <w:sz w:val="24"/>
        </w:rPr>
      </w:pPr>
      <w:r>
        <w:rPr>
          <w:rFonts w:hint="eastAsia"/>
          <w:b/>
          <w:bCs/>
          <w:color w:val="000000"/>
          <w:sz w:val="24"/>
        </w:rPr>
        <w:t>一、考试要求</w:t>
      </w:r>
    </w:p>
    <w:p w:rsidR="00156604" w:rsidRDefault="00156604">
      <w:pPr>
        <w:adjustRightInd w:val="0"/>
        <w:snapToGrid w:val="0"/>
        <w:spacing w:line="360" w:lineRule="auto"/>
        <w:ind w:firstLineChars="200" w:firstLine="480"/>
        <w:rPr>
          <w:color w:val="000000"/>
          <w:sz w:val="24"/>
        </w:rPr>
      </w:pPr>
      <w:r>
        <w:rPr>
          <w:rFonts w:hint="eastAsia"/>
          <w:color w:val="000000"/>
          <w:sz w:val="24"/>
        </w:rPr>
        <w:t>在考查民法学基本知识、基本理论的同时，注重考查考生运用学原理分析、解决问题的能力和运用法律语言的能力。考生应能：准确地再认或再现民法学的基本知识；正确理解和掌握民法学的重要概念、特征、内容和其法律规定；运用民法学原理解释和论证某些观点，明辨法理；结合社会生活背景或特定的法律现象，分析、评价有关案件、事件，找出运用法律知识解决实际问题的方法。</w:t>
      </w:r>
    </w:p>
    <w:p w:rsidR="00156604" w:rsidRDefault="00156604">
      <w:pPr>
        <w:pStyle w:val="NormalWeb"/>
        <w:widowControl/>
        <w:numPr>
          <w:ilvl w:val="0"/>
          <w:numId w:val="1"/>
        </w:numPr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/>
          <w:szCs w:val="22"/>
        </w:rPr>
      </w:pPr>
      <w:r>
        <w:rPr>
          <w:rFonts w:hint="eastAsia"/>
          <w:b/>
          <w:bCs/>
          <w:color w:val="000000"/>
        </w:rPr>
        <w:t>考试内容</w:t>
      </w:r>
    </w:p>
    <w:p w:rsidR="00156604" w:rsidRDefault="00156604">
      <w:pPr>
        <w:pStyle w:val="NormalWeb"/>
        <w:widowControl/>
        <w:shd w:val="clear" w:color="auto" w:fill="FFFFFF"/>
        <w:spacing w:beforeAutospacing="0" w:afterAutospacing="0" w:line="360" w:lineRule="auto"/>
        <w:jc w:val="both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第一章</w:t>
      </w:r>
      <w:r>
        <w:rPr>
          <w:rFonts w:ascii="Times New Roman" w:hAnsi="Times New Roman"/>
          <w:b/>
          <w:bCs/>
          <w:color w:val="000000"/>
          <w:szCs w:val="22"/>
        </w:rPr>
        <w:t xml:space="preserve">   </w:t>
      </w:r>
      <w:r>
        <w:rPr>
          <w:rFonts w:ascii="Times New Roman" w:hAnsi="Times New Roman" w:hint="eastAsia"/>
          <w:b/>
          <w:bCs/>
          <w:color w:val="000000"/>
          <w:szCs w:val="22"/>
        </w:rPr>
        <w:t>绪论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民法概述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一、民法的概念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二、民法的性质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三、民法的渊源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四、民法的解释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五、民法的适用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民法的调整对象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一、民法调整的人身关系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二、民法调整的财产关系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民法的基本原则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一、民法基本原则的概念和功能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二、平等原则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三、自愿原则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四、公平原则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五、诚实信用原则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六、合法原则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七、公序良俗原则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八、绿色原则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第二章</w:t>
      </w:r>
      <w:r>
        <w:rPr>
          <w:rFonts w:ascii="Times New Roman" w:hAnsi="Times New Roman"/>
          <w:b/>
          <w:bCs/>
          <w:color w:val="000000"/>
          <w:szCs w:val="22"/>
        </w:rPr>
        <w:t xml:space="preserve">   </w:t>
      </w:r>
      <w:r>
        <w:rPr>
          <w:rFonts w:ascii="Times New Roman" w:hAnsi="Times New Roman" w:hint="eastAsia"/>
          <w:b/>
          <w:bCs/>
          <w:color w:val="000000"/>
          <w:szCs w:val="22"/>
        </w:rPr>
        <w:t>民事法律关系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民事法律关系概述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一、民事法律关系的概念和特征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二、民事法律关系的分类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人身法律关系和财产法律关系；绝对法律关系和相对法律关系；物权关系和债权关系。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民事法律关系的要素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一、民事法律关系的主体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二、民事法律关系的内容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三、民事法律关系的客体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民事权利、民事义务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一、民事权利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民事权利的概念和特征；民事权利的公类；民事权利的行使；民事权利的保护。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二、民事义务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民事义务的概念和特征；民事义务的分类。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民事责任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一、民事责任的概念和特征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二、民事责任的分类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第五节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民事法律事实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一、民事法律事实的概念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二、民事法律事实的分类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行为；自然事实。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第三章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 </w:t>
      </w:r>
      <w:r>
        <w:rPr>
          <w:rFonts w:ascii="Times New Roman" w:hAnsi="Times New Roman" w:hint="eastAsia"/>
          <w:b/>
          <w:bCs/>
          <w:color w:val="000000"/>
          <w:szCs w:val="22"/>
        </w:rPr>
        <w:t>自然人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自然人的民事权利能力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一、民事权利能力的概念和特征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二、自然人民事权利能力的开始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三、自然人民事权利能力的终止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自然人的民事行为能力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一、自然人民事行为能力的概念和特征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二、自然人民事行为能力的分类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完全民事行为能力；限制民事行为能力；无民事行为能力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三、自然人欠缺民事行为能力的认定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监护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一、监护的概念和作用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二、监护的分类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三、监护人的设定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四、监护人的职责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五、监护关系的终止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宣告失踪和宣告死亡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一、宣告失踪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宣告失踪的概念；宣告失踪的条件和程序；宣告失踪的后果；失踪宣告的撤销。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二、宣告死亡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宣告死亡的概念；宣告死亡的条件和程序；宣告死亡的后果；死亡宣告的撤销。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第五节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个体工商户、农村承包经营户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一、个体工商户的概念和特征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二、农村承包经营户的概念和特征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第四章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 </w:t>
      </w:r>
      <w:r>
        <w:rPr>
          <w:rFonts w:ascii="Times New Roman" w:hAnsi="Times New Roman" w:hint="eastAsia"/>
          <w:b/>
          <w:bCs/>
          <w:color w:val="000000"/>
          <w:szCs w:val="22"/>
        </w:rPr>
        <w:t>法人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法人概述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一、法人的概念和特征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二、法人的分类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营利法人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一、营利法人的概念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二、营利法人的机构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三、营利法人出资人的责任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非营利法人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一、非营利法人的概念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二、非营利法人的类型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特别法人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一、特别法人的概念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二、特别法人的类型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第五节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法人的设立、变更和终止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一、法人的设立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二、法人的变更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三、法人的终止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第五章</w:t>
      </w:r>
      <w:r>
        <w:rPr>
          <w:rFonts w:ascii="Times New Roman" w:hAnsi="Times New Roman"/>
          <w:b/>
          <w:bCs/>
          <w:color w:val="000000"/>
          <w:szCs w:val="22"/>
        </w:rPr>
        <w:t xml:space="preserve">  </w:t>
      </w:r>
      <w:r>
        <w:rPr>
          <w:rFonts w:ascii="Times New Roman" w:hAnsi="Times New Roman" w:hint="eastAsia"/>
          <w:b/>
          <w:bCs/>
          <w:color w:val="000000"/>
          <w:szCs w:val="22"/>
        </w:rPr>
        <w:t>非法人组织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非法人组织概述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一、非法人组织的概念和特征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二、非法人组织的类型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合伙企业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一、合伙企业的概念和类型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二、普通合伙企业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普通合伙企业的概念；普通合伙企业的设立条件；普通合伙企业的事务执行；入伙与退伙；普通合伙企业的责任承担；特殊的普通合伙企业。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三、有限合伙企业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有限合伙企业的概念；有限合伙企业的设立条件；有限合伙企业的事务执行；入伙与退伙；有限合伙企业的责任承担。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第六章</w:t>
      </w:r>
      <w:r>
        <w:rPr>
          <w:rFonts w:ascii="Times New Roman" w:hAnsi="Times New Roman"/>
          <w:b/>
          <w:bCs/>
          <w:color w:val="000000"/>
          <w:szCs w:val="22"/>
        </w:rPr>
        <w:t xml:space="preserve">   </w:t>
      </w:r>
      <w:r>
        <w:rPr>
          <w:rFonts w:ascii="Times New Roman" w:hAnsi="Times New Roman" w:hint="eastAsia"/>
          <w:b/>
          <w:bCs/>
          <w:color w:val="000000"/>
          <w:szCs w:val="22"/>
        </w:rPr>
        <w:t>民事法律行为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民事法律行为概述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一、民事法律行为的概念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二、民事法律行为的特征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民事法律行为的分类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一、单方行为、双方行为和多方行为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二、单务行为和双务行为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三、有偿行为和无偿行为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四、诺成性行为和实践性行为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五、要式行为和不要式行为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六、主行为和从行为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七、有因行为和无因行为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八、负担行为和处分行为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意思表示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一、意思表示的概念和特征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二、意思表示的形式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三、意思表示的生效和撤回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四、意思表示的解释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第六节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可撤销的民事法律行为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一、可撤销的民事法律行为的概念和特征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二、可撤销的民事法律行为的情形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三、可撤销的民事法律行为与无效的民事法律行为的区别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第七节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效力特定的民事法律行为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一、效力待定的民事法律行为的概念和特征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二、效力待定的民事法律行为的情形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三、效力待定的民事法律行为的法律后果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第八节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附条件和附期限的民事法律行为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一、附条件的民事法律行为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二、附期限的民事法律行为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b/>
          <w:bCs/>
          <w:color w:val="000000"/>
          <w:szCs w:val="22"/>
        </w:rPr>
        <w:t>第七章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代理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代理概述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一、代理的概念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二、代理的特征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三、代理的适用范围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代理的分类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一、委托代理和法定代理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二、本代理和复代理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三、直接代理和间接代理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代理权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一、代理权的概念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二、代理权的产生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三、代理权的行使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无权代理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一、无权代理的概念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二、无权代理的效力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三、表见代理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表见代理的概念；表见代理的构成条件；常见的表见代理情形；表见代理的法律后果。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第五节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代理终止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一、委托代理的终止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二、法定代理的终止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第八章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诉讼时效与期间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诉讼时效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一、时效概述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二、诉讼时效的概念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三、诉讼时效的适用范围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四、诉讼时效的类型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五、诉讼时效期间的起算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六、诉讼时效的中止、中断和延长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诉讼时效的中止；诉讼时效的中断；诉讼时效的延长。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七、诉讼时效和除斥期间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期间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一、期间的概念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二、期间的类型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三、期间的计算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第九章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人身权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人身权概述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一、人身权的概念和特征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二、人身权的种类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人格权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一、人格权的概念和特征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二、一般人格权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三、具体人格权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生命权；身体权；健康权；姓名权；名称权；肖像权；名誉权；隐私权；荣誉权；婚姻自主权。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身份权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一、身份权的概念和特征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二、身份权的类型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第十章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物权法概述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物权概述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一、物权的概念和特征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二、物权的分类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物权法的基本原则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一、平等保护原则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二、物权客体特定原则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三、物权法定原则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四、公示、公信原则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物权的变动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一、物权变动概述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二、物权变动的模式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三、不动产物权的变动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四、动产物权的变动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不动产登记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一、不动产登记的概念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二、不动产登记的类型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三、不动产登记的效力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四、不动产登记错误的责任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第五节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物权的保护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一、确认物权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二、返还原物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三、排除妨害、消除危险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四、恢复原状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五、损害赔偿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第十一章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所有权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所有权概述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一、所有权的概念和特征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二、所有权的分类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三、所有权的权能和限制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四、所有权的取得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共有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一、共有的概念和特征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二、按份共有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三、共同共有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建筑物区分所有权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一、建筑物区分所有权的概念和特征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二、建筑物区分所有权的内容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相邻关系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一、相邻关系的概念和特征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二、相邻关系的处理原则和依据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三、几种主要的相邻关系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相邻不动产通行或利用关系；相邻用水、排水关系；相邻通风、采光和日照关系；相邻不可量物侵害防免关系。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第十二章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用益物权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用益物权概述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一、用益物权的概念和特征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二、用益物权的种类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土地承包经营权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一、土地承包经营权的概念和特征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二、土地承包经营权的设立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三、土地承包经营权的内容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建设用地使用权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一、建设用地使用权的概念和特征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二、建设用地使用权的设立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三、建设用地使用权的内容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宅基地使用权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一、宅基地使用权的概念和特征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二、宅基地使用权的设立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三、宅基地使用权的内容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第五节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地役权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一、地役权的概念和特征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二、地役权的设立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三、地役权的内容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第十三章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担保物权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担保物权概述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一、担保物权的概念和特征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二、担保物权的分类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三、担保物权的消灭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抵押权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一、抵押权的概念和特征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二、抵押权的设立</w:t>
      </w:r>
      <w:r>
        <w:rPr>
          <w:rFonts w:ascii="Times New Roman" w:hAnsi="Times New Roman"/>
          <w:color w:val="000000"/>
          <w:szCs w:val="22"/>
        </w:rPr>
        <w:t>t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三、抵押权的效力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四、抵押权的顺位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五、抵押权的实现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六、特殊抵押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质权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一、质权的概念和特征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二、动产质权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三、权利质权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留置权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一、留置权的概念和特征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二、留置权的成立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三、留置权的效力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四、留置权的实现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五、留置权的消灭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第十四章</w:t>
      </w:r>
      <w:r>
        <w:rPr>
          <w:rFonts w:ascii="Times New Roman" w:hAnsi="Times New Roman"/>
          <w:b/>
          <w:bCs/>
          <w:color w:val="000000"/>
          <w:szCs w:val="22"/>
        </w:rPr>
        <w:t xml:space="preserve">   </w:t>
      </w:r>
      <w:r>
        <w:rPr>
          <w:rFonts w:ascii="Times New Roman" w:hAnsi="Times New Roman" w:hint="eastAsia"/>
          <w:b/>
          <w:bCs/>
          <w:color w:val="000000"/>
          <w:szCs w:val="22"/>
        </w:rPr>
        <w:t>占有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占有概述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一、占有的概念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二、占有的分类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占有的效力和保护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一、占有的效力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二、占有的保护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第十五章</w:t>
      </w:r>
      <w:r>
        <w:rPr>
          <w:rFonts w:ascii="Times New Roman" w:hAnsi="Times New Roman"/>
          <w:b/>
          <w:bCs/>
          <w:color w:val="000000"/>
          <w:szCs w:val="22"/>
        </w:rPr>
        <w:t xml:space="preserve">  </w:t>
      </w:r>
      <w:r>
        <w:rPr>
          <w:rFonts w:ascii="Times New Roman" w:hAnsi="Times New Roman" w:hint="eastAsia"/>
          <w:b/>
          <w:bCs/>
          <w:color w:val="000000"/>
          <w:szCs w:val="22"/>
        </w:rPr>
        <w:t>知识产权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知识产权概述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一、知识产权的概念和特征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二、知识产权的范围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著作权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一、著作权的概念和特征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二、著作权的主体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三、著作权的客体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四、著作权的内容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五、邻接权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六、著作权的合理使用和法定许可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七、著作权的保护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专利权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一、专利权的概念和特征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二、专利权的主体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三、专利权的客体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四、专利权的内容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五、专利权的取得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六、专利权的期限、无效与终止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七、专利权的强制许可和不视为侵犯专利权的行为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八、专利权的保护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商标权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一、商标权概述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二、商标权的取得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三、商标权的内容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四、注册商标的无效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五、商标权的终止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六、商标权的保护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第十六章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债法概述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债的概述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一、债的概念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二、债的内容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三、债的分类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债的发生、变更和消灭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一、债的发生根据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二、债的变更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三、债的消灭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无因管理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一、无因管理的概念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二、无因管理之债的构成要件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三、无因管理之债的效力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不当得利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一、不当得利的概念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二、不当得利之债的构成要件和类型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三、不当得利之债的效力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第十七章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合同法总论</w:t>
      </w:r>
      <w:r>
        <w:rPr>
          <w:rFonts w:ascii="Times New Roman" w:hAnsi="Times New Roman"/>
          <w:b/>
          <w:bCs/>
          <w:color w:val="000000"/>
          <w:szCs w:val="22"/>
        </w:rPr>
        <w:t> 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合同概述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一、合同的概念和特征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二、合同的分类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三、合同法的基本原则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合同的成立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一、合同的成立要件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二、合同订立的一般程序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三、格式条款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四、合同成立的时间和地点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五、缔约过失责任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合同的内容和形式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一、合同的内容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二、合同的形式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合同的效力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一、合同效力概述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二、无效合同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三、可变更、可撤销合同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四、效力待定合同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第五节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合同的履行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一、合同履行的原则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二、双务合同履行中的抗辩权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同时履行抗辩权；先履行抗辩权；不安抗辩权。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三、合同的保全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债权人代位权；债权人撤销权。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第六节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合同的担保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一、合同担保概述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二、保证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三、定金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第七节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合同的解除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一、合同的解除概述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二、合同解除的条件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三、合同解除的效力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第八节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违约责任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一、违约责任概述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二、违约责任的归责原则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三、违约责任的构成要件及免责事由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四、违约责任的承担方式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五、违约责任与侵权责任的竞合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第九节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合同的解释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一、合同解释概述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二、合同的解释规则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第十八章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合同法分论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转移财产权的合同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一、买卖合同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二、供用电、水、气、热力合同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三、赠与合同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四、借款合同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五、租赁合同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六、融资租赁合同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完成工作交付成果的合同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一、承揽合同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二、建设工程合同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提供劳务的合同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一、运输合同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二、保管合同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三、仓储合同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四、委托合同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五、行纪合同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六、居问合同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技术合同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一、技术开发合同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二、技术转让合同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三、技术咨询合同和技术服务合同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第十九章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婚姻家庭法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婚姻家庭法概述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一、婚姻家庭法的概念及调整对象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二、我国婚姻家庭法的基本原则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亲属制度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一、亲属的概念和特征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二、亲属的种类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三、亲系与亲等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四、亲属关系的发生与终止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结婚制度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一、结婚的实质要件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二、结婚的形式要件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三、无效婚姻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四、可撤销婚姻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夫妻关系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一、夫妻人身关系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二、夫妻财产关系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第五节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离婚制度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一、离婚制度概述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二、登记离婚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三、诉讼离婚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四、离婚的法律后果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五、离婚时的救济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第六节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收养制度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一、收养的概念和特征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二、收养关系的成立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三、收养关系成立的法律效力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四、收养关系的解除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第七节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父母子女关系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一、父母对子女有抚养教育的义务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二、父母对未成年子女有保护、教育的权利和义务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三、子女对父母有赡养扶助的义务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四、父母和子女有相互继承遗产的权利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第八节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扶养制度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一、扶养的概念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二、我国现行的扶养制度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夫妻之间的扶养；父母子女间的扶养；祖孙间的扶养；兄弟姐妹之间的扶养。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第二十章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</w:t>
      </w:r>
      <w:r>
        <w:rPr>
          <w:rFonts w:ascii="Times New Roman" w:hAnsi="Times New Roman" w:hint="eastAsia"/>
          <w:b/>
          <w:bCs/>
          <w:color w:val="000000"/>
          <w:szCs w:val="22"/>
        </w:rPr>
        <w:t>继承法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继承法概述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一、继承的概念和特征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二、继承权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三、我国继承法的基本原则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法定继承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一、法定继承的概念与特征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二、法定继承的适用情形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三、法定继承人的范围与继承顺序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四、代位继承与转继承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遗嘱继承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一、遗嘱继承的概念和特征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二、遗嘱继承的适用条件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三、遗嘱的概念和特征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四、遗嘱的形式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五、遗嘱的有效要件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六、遗嘱无效的情形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七、遗嘱的变更和撤销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遗赠和遗赠扶养协议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一、遗赠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二、遗赠扶养协议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第五节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继承的开始与遗产的处理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一、继承的开始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二、遗产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三、遗产的分割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四、被继承人债务的清偿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第二十一章</w:t>
      </w:r>
      <w:r>
        <w:rPr>
          <w:rFonts w:ascii="Times New Roman" w:hAnsi="Times New Roman"/>
          <w:b/>
          <w:bCs/>
          <w:color w:val="000000"/>
          <w:szCs w:val="22"/>
        </w:rPr>
        <w:t xml:space="preserve">   </w:t>
      </w:r>
      <w:r>
        <w:rPr>
          <w:rFonts w:ascii="Times New Roman" w:hAnsi="Times New Roman" w:hint="eastAsia"/>
          <w:b/>
          <w:bCs/>
          <w:color w:val="000000"/>
          <w:szCs w:val="22"/>
        </w:rPr>
        <w:t>侵权责任法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第一节</w:t>
      </w:r>
      <w:r>
        <w:rPr>
          <w:rFonts w:ascii="Times New Roman" w:hAnsi="Times New Roman"/>
          <w:color w:val="000000"/>
          <w:szCs w:val="22"/>
        </w:rPr>
        <w:t> </w:t>
      </w:r>
      <w:r>
        <w:rPr>
          <w:rFonts w:ascii="Times New Roman" w:hAnsi="Times New Roman" w:hint="eastAsia"/>
          <w:color w:val="000000"/>
          <w:szCs w:val="22"/>
        </w:rPr>
        <w:t>侵权责任概述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一、侵权责任的概念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二、侵权责任的分类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三、侵权责任与行政责任、刑事责任的聚合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第二节</w:t>
      </w:r>
      <w:r>
        <w:rPr>
          <w:rFonts w:ascii="Times New Roman" w:hAnsi="Times New Roman"/>
          <w:color w:val="000000"/>
          <w:szCs w:val="22"/>
        </w:rPr>
        <w:t>  </w:t>
      </w:r>
      <w:r>
        <w:rPr>
          <w:rFonts w:ascii="Times New Roman" w:hAnsi="Times New Roman" w:hint="eastAsia"/>
          <w:color w:val="000000"/>
          <w:szCs w:val="22"/>
        </w:rPr>
        <w:t>侵权责任的归责原则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一、侵权责任归责原则的概念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二、过错责任原则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三、无过错责任原则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第三节</w:t>
      </w: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 w:hint="eastAsia"/>
          <w:color w:val="000000"/>
          <w:szCs w:val="22"/>
        </w:rPr>
        <w:t>一般侵权责任的构成要件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一、加害行为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二、损害事实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三、因果关系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四、主观过错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第四节</w:t>
      </w: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 w:hint="eastAsia"/>
          <w:color w:val="000000"/>
          <w:szCs w:val="22"/>
        </w:rPr>
        <w:t>侵权责任的承担方式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一、赔偿损失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财产损失赔偿；人身损害赔偿；精神损害赔偿。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二、其他侵权责任承担方式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第五节</w:t>
      </w: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 w:hint="eastAsia"/>
          <w:color w:val="000000"/>
          <w:szCs w:val="22"/>
        </w:rPr>
        <w:t>侵权责任的抗辩事由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一、正当理由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二、外来原因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第六节</w:t>
      </w: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 w:hint="eastAsia"/>
          <w:color w:val="000000"/>
          <w:szCs w:val="22"/>
        </w:rPr>
        <w:t>数人侵权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一、共同侵权行为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二、共同危险行为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三、无意思联络的数人侵权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第七节</w:t>
      </w:r>
      <w:r>
        <w:rPr>
          <w:rFonts w:ascii="Times New Roman" w:hAnsi="Times New Roman"/>
          <w:color w:val="000000"/>
          <w:szCs w:val="22"/>
        </w:rPr>
        <w:t xml:space="preserve"> </w:t>
      </w:r>
      <w:r>
        <w:rPr>
          <w:rFonts w:ascii="Times New Roman" w:hAnsi="Times New Roman" w:hint="eastAsia"/>
          <w:color w:val="000000"/>
          <w:szCs w:val="22"/>
        </w:rPr>
        <w:t>各类侵权责任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一、监护人责任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二、用人单位责任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三、个人之间因劳务产生的侵权责任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四、网络侵权责任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五、违反安全保障义务的侵权责任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六、学校、幼儿园等教育机构的责任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七、产品责任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八、机动车交通事故责任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九、医疗损害责任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十、环境污染责任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十一、高度危险责任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十二、饲养动物损害责任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十三、物件损害责任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 </w:t>
      </w:r>
    </w:p>
    <w:p w:rsidR="00156604" w:rsidRDefault="00156604">
      <w:pPr>
        <w:spacing w:line="360" w:lineRule="auto"/>
        <w:rPr>
          <w:rFonts w:ascii="Times New Roman" w:hAnsi="Times New Roman"/>
          <w:b/>
          <w:bCs/>
          <w:color w:val="000000"/>
          <w:szCs w:val="22"/>
        </w:rPr>
      </w:pPr>
      <w:r>
        <w:rPr>
          <w:rFonts w:ascii="Times New Roman" w:hAnsi="Times New Roman" w:hint="eastAsia"/>
          <w:b/>
          <w:bCs/>
          <w:color w:val="000000"/>
          <w:szCs w:val="22"/>
        </w:rPr>
        <w:t>三、参考书目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1</w:t>
      </w:r>
      <w:r>
        <w:rPr>
          <w:rFonts w:ascii="Times New Roman" w:hAnsi="Times New Roman" w:hint="eastAsia"/>
          <w:color w:val="000000"/>
          <w:szCs w:val="22"/>
        </w:rPr>
        <w:t>、相关民事法律规定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2</w:t>
      </w:r>
      <w:r>
        <w:rPr>
          <w:rFonts w:ascii="Times New Roman" w:hAnsi="Times New Roman" w:hint="eastAsia"/>
          <w:color w:val="000000"/>
          <w:szCs w:val="22"/>
        </w:rPr>
        <w:t>、相关司法解释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/>
          <w:color w:val="000000"/>
          <w:szCs w:val="22"/>
        </w:rPr>
        <w:t>3</w:t>
      </w:r>
      <w:r>
        <w:rPr>
          <w:rFonts w:ascii="Times New Roman" w:hAnsi="Times New Roman" w:hint="eastAsia"/>
          <w:color w:val="000000"/>
          <w:szCs w:val="22"/>
        </w:rPr>
        <w:t>、参考书</w:t>
      </w:r>
    </w:p>
    <w:p w:rsidR="00156604" w:rsidRDefault="00156604">
      <w:pPr>
        <w:spacing w:line="360" w:lineRule="auto"/>
        <w:rPr>
          <w:rFonts w:ascii="Times New Roman" w:hAnsi="Times New Roman"/>
          <w:color w:val="000000"/>
          <w:szCs w:val="22"/>
        </w:rPr>
      </w:pPr>
      <w:r>
        <w:rPr>
          <w:rFonts w:ascii="Times New Roman" w:hAnsi="Times New Roman" w:hint="eastAsia"/>
          <w:color w:val="000000"/>
          <w:szCs w:val="22"/>
        </w:rPr>
        <w:t>可参考各高等院校的教材和专家学者的有关著述。</w:t>
      </w:r>
    </w:p>
    <w:p w:rsidR="00156604" w:rsidRDefault="00156604">
      <w:pPr>
        <w:pStyle w:val="NormalWeb"/>
        <w:widowControl/>
        <w:shd w:val="clear" w:color="auto" w:fill="FFFFFF"/>
        <w:spacing w:beforeAutospacing="0" w:afterAutospacing="0" w:line="360" w:lineRule="auto"/>
        <w:jc w:val="both"/>
        <w:rPr>
          <w:color w:val="000000"/>
          <w:kern w:val="2"/>
          <w:sz w:val="21"/>
        </w:rPr>
      </w:pPr>
    </w:p>
    <w:sectPr w:rsidR="0015660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um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A8C376"/>
    <w:multiLevelType w:val="singleLevel"/>
    <w:tmpl w:val="72A8C376"/>
    <w:lvl w:ilvl="0">
      <w:start w:val="2"/>
      <w:numFmt w:val="chineseCounting"/>
      <w:suff w:val="nothing"/>
      <w:lvlText w:val="%1、"/>
      <w:lvlJc w:val="left"/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7C3B01B5"/>
    <w:rsid w:val="00156604"/>
    <w:rsid w:val="0028487B"/>
    <w:rsid w:val="00931171"/>
    <w:rsid w:val="00B07D39"/>
    <w:rsid w:val="00C03D8F"/>
    <w:rsid w:val="0E107900"/>
    <w:rsid w:val="1295412E"/>
    <w:rsid w:val="38512BC5"/>
    <w:rsid w:val="456B0641"/>
    <w:rsid w:val="4B6E1C18"/>
    <w:rsid w:val="5FB54478"/>
    <w:rsid w:val="6E84521F"/>
    <w:rsid w:val="7C3B01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(Web)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D8F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C03D8F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17</Pages>
  <Words>857</Words>
  <Characters>4886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liangjunmin</dc:creator>
  <cp:keywords/>
  <dc:description/>
  <cp:lastModifiedBy>陈举欣</cp:lastModifiedBy>
  <cp:revision>2</cp:revision>
  <dcterms:created xsi:type="dcterms:W3CDTF">2017-09-15T01:53:00Z</dcterms:created>
  <dcterms:modified xsi:type="dcterms:W3CDTF">2018-09-19T14:46:00Z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